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41A4" w14:textId="77777777" w:rsidR="00597336" w:rsidRDefault="00B21BEB">
      <w:pPr>
        <w:spacing w:after="60"/>
      </w:pPr>
      <w:r>
        <w:rPr>
          <w:b/>
          <w:bCs/>
          <w:caps/>
          <w:color w:val="888888"/>
          <w:sz w:val="20"/>
          <w:szCs w:val="20"/>
        </w:rPr>
        <w:t>JOB REQUISITION</w:t>
      </w:r>
    </w:p>
    <w:p w14:paraId="084F0DA5" w14:textId="77777777" w:rsidR="00597336" w:rsidRDefault="00B21BEB">
      <w:pPr>
        <w:pStyle w:val="Heading1"/>
      </w:pPr>
      <w:r>
        <w:t>Associate General Counsel</w:t>
      </w:r>
    </w:p>
    <w:p w14:paraId="5BCB16FB" w14:textId="77777777" w:rsidR="00597336" w:rsidRDefault="00B21BEB">
      <w:pPr>
        <w:spacing w:after="60"/>
      </w:pPr>
      <w:r>
        <w:rPr>
          <w:b/>
          <w:bCs/>
          <w:color w:val="2E75B6"/>
          <w:sz w:val="24"/>
          <w:szCs w:val="24"/>
        </w:rPr>
        <w:t>Director | Corporate Legal — Global Exchange Data</w:t>
      </w:r>
    </w:p>
    <w:p w14:paraId="193D8330" w14:textId="77777777" w:rsidR="00597336" w:rsidRDefault="00597336">
      <w:pPr>
        <w:pBdr>
          <w:bottom w:val="single" w:sz="6" w:space="1" w:color="2E75B6"/>
        </w:pBdr>
      </w:pPr>
    </w:p>
    <w:p w14:paraId="67DE8068" w14:textId="77777777" w:rsidR="00597336" w:rsidRDefault="00597336"/>
    <w:p w14:paraId="5DF109EB" w14:textId="77777777" w:rsidR="00597336" w:rsidRDefault="00B21BEB">
      <w:pPr>
        <w:pStyle w:val="Heading2"/>
      </w:pPr>
      <w:r>
        <w:t>Position Overview</w:t>
      </w:r>
    </w:p>
    <w:p w14:paraId="03166B0B" w14:textId="77777777" w:rsidR="00597336" w:rsidRDefault="00B21BEB">
      <w:pPr>
        <w:spacing w:after="80"/>
      </w:pPr>
      <w:r>
        <w:rPr>
          <w:b/>
          <w:bCs/>
          <w:color w:val="1F4E79"/>
        </w:rPr>
        <w:t xml:space="preserve">Department: </w:t>
      </w:r>
      <w:r>
        <w:rPr>
          <w:color w:val="1A1A1A"/>
        </w:rPr>
        <w:t>Legal — Office of the General Counsel</w:t>
      </w:r>
    </w:p>
    <w:p w14:paraId="0E154357" w14:textId="77777777" w:rsidR="00597336" w:rsidRDefault="00B21BEB">
      <w:pPr>
        <w:spacing w:after="80"/>
      </w:pPr>
      <w:r>
        <w:rPr>
          <w:b/>
          <w:bCs/>
          <w:color w:val="1F4E79"/>
        </w:rPr>
        <w:t xml:space="preserve">Reports To: </w:t>
      </w:r>
      <w:r>
        <w:rPr>
          <w:color w:val="1A1A1A"/>
        </w:rPr>
        <w:t>Deputy General Counsel</w:t>
      </w:r>
    </w:p>
    <w:p w14:paraId="60C518E1" w14:textId="77777777" w:rsidR="00597336" w:rsidRDefault="00B21BEB">
      <w:pPr>
        <w:spacing w:after="80"/>
      </w:pPr>
      <w:r>
        <w:rPr>
          <w:b/>
          <w:bCs/>
          <w:color w:val="1F4E79"/>
        </w:rPr>
        <w:t xml:space="preserve">Level: </w:t>
      </w:r>
      <w:r>
        <w:rPr>
          <w:color w:val="1A1A1A"/>
        </w:rPr>
        <w:t>Director</w:t>
      </w:r>
    </w:p>
    <w:p w14:paraId="04584A08" w14:textId="0A91E73A" w:rsidR="00597336" w:rsidRDefault="00B21BEB">
      <w:pPr>
        <w:spacing w:after="80"/>
      </w:pPr>
      <w:r>
        <w:rPr>
          <w:b/>
          <w:bCs/>
          <w:color w:val="1F4E79"/>
        </w:rPr>
        <w:t xml:space="preserve">Location: </w:t>
      </w:r>
      <w:r>
        <w:rPr>
          <w:color w:val="1A1A1A"/>
        </w:rPr>
        <w:t xml:space="preserve">London, UK or New York, NY </w:t>
      </w:r>
    </w:p>
    <w:p w14:paraId="4A1CC3A9" w14:textId="1059E1F7" w:rsidR="00597336" w:rsidRDefault="00B21BEB">
      <w:pPr>
        <w:spacing w:after="80"/>
      </w:pPr>
      <w:r>
        <w:rPr>
          <w:b/>
          <w:bCs/>
          <w:color w:val="1F4E79"/>
        </w:rPr>
        <w:t xml:space="preserve">Travel: </w:t>
      </w:r>
      <w:r w:rsidR="00B839A6">
        <w:rPr>
          <w:color w:val="1A1A1A"/>
        </w:rPr>
        <w:t>May</w:t>
      </w:r>
      <w:r w:rsidR="009B6A6C">
        <w:rPr>
          <w:color w:val="1A1A1A"/>
        </w:rPr>
        <w:t xml:space="preserve"> </w:t>
      </w:r>
      <w:r w:rsidR="00B839A6">
        <w:rPr>
          <w:color w:val="1A1A1A"/>
        </w:rPr>
        <w:t>require periodic</w:t>
      </w:r>
      <w:r>
        <w:rPr>
          <w:color w:val="1A1A1A"/>
        </w:rPr>
        <w:t xml:space="preserve"> travel</w:t>
      </w:r>
    </w:p>
    <w:p w14:paraId="4C8B116C" w14:textId="77777777" w:rsidR="00597336" w:rsidRDefault="00597336"/>
    <w:p w14:paraId="0E282CB6" w14:textId="77777777" w:rsidR="00597336" w:rsidRDefault="00597336">
      <w:pPr>
        <w:pBdr>
          <w:bottom w:val="single" w:sz="6" w:space="1" w:color="2E75B6"/>
        </w:pBdr>
      </w:pPr>
    </w:p>
    <w:p w14:paraId="3647F8BE" w14:textId="77777777" w:rsidR="00597336" w:rsidRDefault="00597336"/>
    <w:p w14:paraId="021E5477" w14:textId="77777777" w:rsidR="00597336" w:rsidRDefault="00B21BEB">
      <w:pPr>
        <w:pStyle w:val="Heading2"/>
      </w:pPr>
      <w:r>
        <w:t>Role Summary</w:t>
      </w:r>
    </w:p>
    <w:p w14:paraId="609AF8A0" w14:textId="77777777" w:rsidR="00597336" w:rsidRDefault="00B21BEB">
      <w:pPr>
        <w:spacing w:after="100"/>
      </w:pPr>
      <w:r>
        <w:rPr>
          <w:color w:val="1A1A1A"/>
        </w:rPr>
        <w:t>Intercontinental Exchange (ICE) is seeking a highly skilled and commercially minded Associate General Counsel to serve as the primary legal partner supporting ICE's global proprietary exchange data business. Reporting directly to the Deputy General Counsel and operating within the parent company's General Counsel organization, this is a high-visibility, high-impact role with direct exposure to the General Counsel, C-suite executives, and SVP-level business leaders.</w:t>
      </w:r>
    </w:p>
    <w:p w14:paraId="3440F017" w14:textId="77777777" w:rsidR="00597336" w:rsidRDefault="00597336"/>
    <w:p w14:paraId="3A47644B" w14:textId="77777777" w:rsidR="00597336" w:rsidRDefault="00B21BEB">
      <w:pPr>
        <w:spacing w:after="100"/>
      </w:pPr>
      <w:r>
        <w:rPr>
          <w:color w:val="1A1A1A"/>
        </w:rPr>
        <w:t>This attorney will lead commercial licensing matters across ICE's exchange data product suite, navigate complex regulatory environments across multiple jurisdictions, and play an active role in emerging areas including digital assets and AI-driven legal operations.</w:t>
      </w:r>
    </w:p>
    <w:p w14:paraId="5FDF6517" w14:textId="77777777" w:rsidR="00597336" w:rsidRDefault="00597336"/>
    <w:p w14:paraId="18360703" w14:textId="77777777" w:rsidR="00597336" w:rsidRDefault="00597336">
      <w:pPr>
        <w:pBdr>
          <w:bottom w:val="single" w:sz="6" w:space="1" w:color="2E75B6"/>
        </w:pBdr>
      </w:pPr>
    </w:p>
    <w:p w14:paraId="6BB7C7E4" w14:textId="77777777" w:rsidR="00597336" w:rsidRDefault="00597336"/>
    <w:p w14:paraId="047C72D0" w14:textId="77777777" w:rsidR="00597336" w:rsidRDefault="00B21BEB">
      <w:pPr>
        <w:pStyle w:val="Heading2"/>
      </w:pPr>
      <w:r>
        <w:t>Key Responsibilities</w:t>
      </w:r>
    </w:p>
    <w:p w14:paraId="354D4824" w14:textId="77777777" w:rsidR="00597336" w:rsidRDefault="00B21BEB">
      <w:pPr>
        <w:spacing w:after="60"/>
      </w:pPr>
      <w:r>
        <w:rPr>
          <w:b/>
          <w:bCs/>
          <w:color w:val="1F4E79"/>
        </w:rPr>
        <w:t>Commercial &amp; Licensing</w:t>
      </w:r>
    </w:p>
    <w:p w14:paraId="70D557DB" w14:textId="77777777" w:rsidR="00597336" w:rsidRDefault="00B21BEB">
      <w:pPr>
        <w:pStyle w:val="ListParagraph"/>
        <w:numPr>
          <w:ilvl w:val="0"/>
          <w:numId w:val="2"/>
        </w:numPr>
      </w:pPr>
      <w:r>
        <w:rPr>
          <w:color w:val="1A1A1A"/>
        </w:rPr>
        <w:t>Serve as lead counsel for all commercial license transactions supporting ICE's global proprietary exchange data business</w:t>
      </w:r>
    </w:p>
    <w:p w14:paraId="4398510A" w14:textId="77777777" w:rsidR="00597336" w:rsidRDefault="00B21BEB">
      <w:pPr>
        <w:pStyle w:val="ListParagraph"/>
        <w:numPr>
          <w:ilvl w:val="0"/>
          <w:numId w:val="2"/>
        </w:numPr>
      </w:pPr>
      <w:r>
        <w:rPr>
          <w:color w:val="1A1A1A"/>
        </w:rPr>
        <w:t>Draft, negotiate, and manage product licenses for exchange traded products (ETPs), including index, benchmark, and data feed agreements</w:t>
      </w:r>
    </w:p>
    <w:p w14:paraId="4569B670" w14:textId="77777777" w:rsidR="00597336" w:rsidRDefault="00B21BEB">
      <w:pPr>
        <w:pStyle w:val="ListParagraph"/>
        <w:numPr>
          <w:ilvl w:val="0"/>
          <w:numId w:val="2"/>
        </w:numPr>
      </w:pPr>
      <w:r>
        <w:rPr>
          <w:color w:val="1A1A1A"/>
        </w:rPr>
        <w:t>Advise on software license agreements governing technology platforms and delivery infrastructure for exchange data products</w:t>
      </w:r>
    </w:p>
    <w:p w14:paraId="0388BD4F" w14:textId="77777777" w:rsidR="00597336" w:rsidRDefault="00B21BEB">
      <w:pPr>
        <w:pStyle w:val="ListParagraph"/>
        <w:numPr>
          <w:ilvl w:val="0"/>
          <w:numId w:val="2"/>
        </w:numPr>
      </w:pPr>
      <w:r>
        <w:rPr>
          <w:color w:val="1A1A1A"/>
        </w:rPr>
        <w:t>Structure and execute complex, multi-party licensing arrangements with exchanges, data vendors, institutional clients, and technology partners</w:t>
      </w:r>
    </w:p>
    <w:p w14:paraId="2FD33247" w14:textId="77777777" w:rsidR="00597336" w:rsidRDefault="00597336"/>
    <w:p w14:paraId="543C9892" w14:textId="77777777" w:rsidR="00597336" w:rsidRDefault="00B21BEB">
      <w:pPr>
        <w:spacing w:after="60"/>
      </w:pPr>
      <w:r>
        <w:rPr>
          <w:b/>
          <w:bCs/>
          <w:color w:val="1F4E79"/>
        </w:rPr>
        <w:t>Regulatory &amp; Compliance</w:t>
      </w:r>
    </w:p>
    <w:p w14:paraId="33B5FD85" w14:textId="77777777" w:rsidR="00597336" w:rsidRDefault="00B21BEB">
      <w:pPr>
        <w:pStyle w:val="ListParagraph"/>
        <w:numPr>
          <w:ilvl w:val="0"/>
          <w:numId w:val="2"/>
        </w:numPr>
      </w:pPr>
      <w:r>
        <w:rPr>
          <w:color w:val="1A1A1A"/>
        </w:rPr>
        <w:t>Provide substantive legal counsel on regulatory matters impacting exchange data and derivative markets, with emphasis on CFTC, FCA, ESMA, and SEC frameworks</w:t>
      </w:r>
    </w:p>
    <w:p w14:paraId="67CBA10B" w14:textId="77777777" w:rsidR="00597336" w:rsidRDefault="00B21BEB">
      <w:pPr>
        <w:pStyle w:val="ListParagraph"/>
        <w:numPr>
          <w:ilvl w:val="0"/>
          <w:numId w:val="2"/>
        </w:numPr>
      </w:pPr>
      <w:r>
        <w:rPr>
          <w:color w:val="1A1A1A"/>
        </w:rPr>
        <w:t>Monitor evolving regulatory developments and translate implications for business and product strategies</w:t>
      </w:r>
    </w:p>
    <w:p w14:paraId="09EE1903" w14:textId="77777777" w:rsidR="00597336" w:rsidRDefault="00B21BEB">
      <w:pPr>
        <w:pStyle w:val="ListParagraph"/>
        <w:numPr>
          <w:ilvl w:val="0"/>
          <w:numId w:val="2"/>
        </w:numPr>
      </w:pPr>
      <w:r>
        <w:rPr>
          <w:color w:val="1A1A1A"/>
        </w:rPr>
        <w:lastRenderedPageBreak/>
        <w:t>Partner with compliance teams to ensure data licensing practices adhere to applicable exchange rules, market data policies, and regulatory requirements across jurisdictions</w:t>
      </w:r>
    </w:p>
    <w:p w14:paraId="0E423ECA" w14:textId="77777777" w:rsidR="00597336" w:rsidRDefault="00597336"/>
    <w:p w14:paraId="1E6F95CA" w14:textId="77777777" w:rsidR="00597336" w:rsidRDefault="00B21BEB">
      <w:pPr>
        <w:spacing w:after="60"/>
      </w:pPr>
      <w:r>
        <w:rPr>
          <w:b/>
          <w:bCs/>
          <w:color w:val="1F4E79"/>
        </w:rPr>
        <w:t>Emerging Technologies</w:t>
      </w:r>
    </w:p>
    <w:p w14:paraId="39D22805" w14:textId="77777777" w:rsidR="00597336" w:rsidRDefault="00B21BEB">
      <w:pPr>
        <w:pStyle w:val="ListParagraph"/>
        <w:numPr>
          <w:ilvl w:val="0"/>
          <w:numId w:val="2"/>
        </w:numPr>
      </w:pPr>
      <w:proofErr w:type="gramStart"/>
      <w:r>
        <w:rPr>
          <w:color w:val="1A1A1A"/>
        </w:rPr>
        <w:t>Advise</w:t>
      </w:r>
      <w:proofErr w:type="gramEnd"/>
      <w:r>
        <w:rPr>
          <w:color w:val="1A1A1A"/>
        </w:rPr>
        <w:t xml:space="preserve"> on legal and regulatory considerations for innovative products in the digital assets and cryptocurrency space</w:t>
      </w:r>
    </w:p>
    <w:p w14:paraId="4E562627" w14:textId="77777777" w:rsidR="00597336" w:rsidRDefault="00B21BEB">
      <w:pPr>
        <w:pStyle w:val="ListParagraph"/>
        <w:numPr>
          <w:ilvl w:val="0"/>
          <w:numId w:val="2"/>
        </w:numPr>
      </w:pPr>
      <w:r>
        <w:rPr>
          <w:color w:val="1A1A1A"/>
        </w:rPr>
        <w:t>Partner with business and technology teams on the creation, deployment, and governance of AI tools designed to streamline legal operations and workflows</w:t>
      </w:r>
    </w:p>
    <w:p w14:paraId="5A0273F1" w14:textId="77777777" w:rsidR="00597336" w:rsidRDefault="00B21BEB">
      <w:pPr>
        <w:pStyle w:val="ListParagraph"/>
        <w:numPr>
          <w:ilvl w:val="0"/>
          <w:numId w:val="2"/>
        </w:numPr>
      </w:pPr>
      <w:r>
        <w:rPr>
          <w:color w:val="1A1A1A"/>
        </w:rPr>
        <w:t>Identify and manage legal risks associated with AI-generated outputs, data provenance, and automated decision-making in commercial contexts</w:t>
      </w:r>
    </w:p>
    <w:p w14:paraId="2B26D339" w14:textId="77777777" w:rsidR="00597336" w:rsidRDefault="00597336"/>
    <w:p w14:paraId="0B81F00D" w14:textId="77777777" w:rsidR="00597336" w:rsidRDefault="00B21BEB">
      <w:pPr>
        <w:spacing w:after="60"/>
      </w:pPr>
      <w:r>
        <w:rPr>
          <w:b/>
          <w:bCs/>
          <w:color w:val="1F4E79"/>
        </w:rPr>
        <w:t>Cross-Functional Leadership</w:t>
      </w:r>
    </w:p>
    <w:p w14:paraId="12E2DAFF" w14:textId="77777777" w:rsidR="00597336" w:rsidRDefault="00B21BEB">
      <w:pPr>
        <w:pStyle w:val="ListParagraph"/>
        <w:numPr>
          <w:ilvl w:val="0"/>
          <w:numId w:val="2"/>
        </w:numPr>
      </w:pPr>
      <w:r>
        <w:rPr>
          <w:color w:val="1A1A1A"/>
        </w:rPr>
        <w:t>Engage directly with senior business leaders, including C-suite and SVP-level executives, providing clear, actionable legal guidance</w:t>
      </w:r>
    </w:p>
    <w:p w14:paraId="23F82BED" w14:textId="77777777" w:rsidR="00597336" w:rsidRDefault="00B21BEB">
      <w:pPr>
        <w:pStyle w:val="ListParagraph"/>
        <w:numPr>
          <w:ilvl w:val="0"/>
          <w:numId w:val="2"/>
        </w:numPr>
      </w:pPr>
      <w:r>
        <w:rPr>
          <w:color w:val="1A1A1A"/>
        </w:rPr>
        <w:t>Collaborate with internal legal colleagues across corporate, IP, regulatory, and technology law practices</w:t>
      </w:r>
    </w:p>
    <w:p w14:paraId="02B9DAEC" w14:textId="77777777" w:rsidR="00597336" w:rsidRDefault="00B21BEB">
      <w:pPr>
        <w:pStyle w:val="ListParagraph"/>
        <w:numPr>
          <w:ilvl w:val="0"/>
          <w:numId w:val="2"/>
        </w:numPr>
      </w:pPr>
      <w:r>
        <w:rPr>
          <w:color w:val="1A1A1A"/>
        </w:rPr>
        <w:t>Manage outside counsel relationships and associated budgets as needed</w:t>
      </w:r>
    </w:p>
    <w:p w14:paraId="2F104F93" w14:textId="77777777" w:rsidR="00597336" w:rsidRDefault="00597336"/>
    <w:p w14:paraId="1FC98AF4" w14:textId="77777777" w:rsidR="00597336" w:rsidRDefault="00597336">
      <w:pPr>
        <w:pBdr>
          <w:bottom w:val="single" w:sz="6" w:space="1" w:color="2E75B6"/>
        </w:pBdr>
      </w:pPr>
    </w:p>
    <w:p w14:paraId="11E4873D" w14:textId="77777777" w:rsidR="00597336" w:rsidRDefault="00597336"/>
    <w:p w14:paraId="0724E569" w14:textId="77777777" w:rsidR="00597336" w:rsidRDefault="00B21BEB">
      <w:pPr>
        <w:pStyle w:val="Heading2"/>
      </w:pPr>
      <w:r>
        <w:t>Qualifications</w:t>
      </w:r>
    </w:p>
    <w:p w14:paraId="2D81B41A" w14:textId="77777777" w:rsidR="00597336" w:rsidRDefault="00B21BEB">
      <w:pPr>
        <w:spacing w:after="60"/>
      </w:pPr>
      <w:r>
        <w:rPr>
          <w:b/>
          <w:bCs/>
          <w:color w:val="1F4E79"/>
        </w:rPr>
        <w:t>Required</w:t>
      </w:r>
    </w:p>
    <w:p w14:paraId="63E723CF" w14:textId="77777777" w:rsidR="00597336" w:rsidRDefault="00B21BEB">
      <w:pPr>
        <w:pStyle w:val="ListParagraph"/>
        <w:numPr>
          <w:ilvl w:val="0"/>
          <w:numId w:val="2"/>
        </w:numPr>
      </w:pPr>
      <w:r>
        <w:rPr>
          <w:color w:val="1A1A1A"/>
        </w:rPr>
        <w:t>Juris Doctor (JD) or equivalent legal qualification; admission to the bar in New York, England &amp; Wales, or another relevant jurisdiction</w:t>
      </w:r>
    </w:p>
    <w:p w14:paraId="35559849" w14:textId="77777777" w:rsidR="00597336" w:rsidRDefault="00B21BEB">
      <w:pPr>
        <w:pStyle w:val="ListParagraph"/>
        <w:numPr>
          <w:ilvl w:val="0"/>
          <w:numId w:val="2"/>
        </w:numPr>
      </w:pPr>
      <w:r>
        <w:rPr>
          <w:color w:val="1A1A1A"/>
        </w:rPr>
        <w:t>Minimum 8–12 years of legal experience with a substantive focus on commercial licensing, financial products, or capital markets</w:t>
      </w:r>
    </w:p>
    <w:p w14:paraId="2FC00B6D" w14:textId="77777777" w:rsidR="00597336" w:rsidRDefault="00B21BEB">
      <w:pPr>
        <w:pStyle w:val="ListParagraph"/>
        <w:numPr>
          <w:ilvl w:val="0"/>
          <w:numId w:val="2"/>
        </w:numPr>
      </w:pPr>
      <w:r>
        <w:rPr>
          <w:color w:val="1A1A1A"/>
        </w:rPr>
        <w:t>Demonstrated expertise in derivative exchange markets and a working knowledge of CFTC, FCA, ESMA, and SEC regulatory regimes</w:t>
      </w:r>
    </w:p>
    <w:p w14:paraId="75832571" w14:textId="77777777" w:rsidR="00597336" w:rsidRDefault="00B21BEB">
      <w:pPr>
        <w:pStyle w:val="ListParagraph"/>
        <w:numPr>
          <w:ilvl w:val="0"/>
          <w:numId w:val="2"/>
        </w:numPr>
      </w:pPr>
      <w:r>
        <w:rPr>
          <w:color w:val="1A1A1A"/>
        </w:rPr>
        <w:t>Proven track record in drafting and negotiating complex commercial license agreements, including data, product, and software licenses</w:t>
      </w:r>
    </w:p>
    <w:p w14:paraId="43405FE1" w14:textId="77777777" w:rsidR="00597336" w:rsidRDefault="00B21BEB">
      <w:pPr>
        <w:pStyle w:val="ListParagraph"/>
        <w:numPr>
          <w:ilvl w:val="0"/>
          <w:numId w:val="2"/>
        </w:numPr>
      </w:pPr>
      <w:r>
        <w:rPr>
          <w:color w:val="1A1A1A"/>
        </w:rPr>
        <w:t>Experience advising senior business executives in a fast-paced, high-stakes environment</w:t>
      </w:r>
    </w:p>
    <w:p w14:paraId="17AB1016" w14:textId="77777777" w:rsidR="00597336" w:rsidRDefault="00597336"/>
    <w:p w14:paraId="1894CB33" w14:textId="77777777" w:rsidR="00597336" w:rsidRDefault="00B21BEB">
      <w:pPr>
        <w:spacing w:after="60"/>
      </w:pPr>
      <w:r>
        <w:rPr>
          <w:b/>
          <w:bCs/>
          <w:color w:val="1F4E79"/>
        </w:rPr>
        <w:t>Preferred</w:t>
      </w:r>
    </w:p>
    <w:p w14:paraId="1F4427A4" w14:textId="77777777" w:rsidR="00597336" w:rsidRDefault="00B21BEB">
      <w:pPr>
        <w:pStyle w:val="ListParagraph"/>
        <w:numPr>
          <w:ilvl w:val="0"/>
          <w:numId w:val="2"/>
        </w:numPr>
      </w:pPr>
      <w:r>
        <w:rPr>
          <w:color w:val="1A1A1A"/>
        </w:rPr>
        <w:t>In-house counsel experience at a financial exchange, market data business, or financial technology firm</w:t>
      </w:r>
    </w:p>
    <w:p w14:paraId="14B17654" w14:textId="77777777" w:rsidR="00597336" w:rsidRDefault="00B21BEB">
      <w:pPr>
        <w:pStyle w:val="ListParagraph"/>
        <w:numPr>
          <w:ilvl w:val="0"/>
          <w:numId w:val="2"/>
        </w:numPr>
      </w:pPr>
      <w:r>
        <w:rPr>
          <w:color w:val="1A1A1A"/>
        </w:rPr>
        <w:t>Familiarity with digital assets, crypto market structure, or tokenized financial products</w:t>
      </w:r>
    </w:p>
    <w:p w14:paraId="77152D62" w14:textId="77777777" w:rsidR="00597336" w:rsidRDefault="00B21BEB">
      <w:pPr>
        <w:pStyle w:val="ListParagraph"/>
        <w:numPr>
          <w:ilvl w:val="0"/>
          <w:numId w:val="2"/>
        </w:numPr>
      </w:pPr>
      <w:r>
        <w:rPr>
          <w:color w:val="1A1A1A"/>
        </w:rPr>
        <w:t>Experience with AI governance frameworks, technology licensing, or data rights in the context of machine learning</w:t>
      </w:r>
    </w:p>
    <w:p w14:paraId="027B03A3" w14:textId="77777777" w:rsidR="00597336" w:rsidRDefault="00B21BEB">
      <w:pPr>
        <w:pStyle w:val="ListParagraph"/>
        <w:numPr>
          <w:ilvl w:val="0"/>
          <w:numId w:val="2"/>
        </w:numPr>
      </w:pPr>
      <w:r>
        <w:rPr>
          <w:color w:val="1A1A1A"/>
        </w:rPr>
        <w:t>Dual qualification or cross-border practice experience (US and UK/EU)</w:t>
      </w:r>
    </w:p>
    <w:p w14:paraId="44474195" w14:textId="77777777" w:rsidR="00597336" w:rsidRDefault="00597336"/>
    <w:p w14:paraId="7CABC1E7" w14:textId="77777777" w:rsidR="00597336" w:rsidRDefault="00597336">
      <w:pPr>
        <w:pBdr>
          <w:bottom w:val="single" w:sz="6" w:space="1" w:color="2E75B6"/>
        </w:pBdr>
      </w:pPr>
    </w:p>
    <w:p w14:paraId="643AA46A" w14:textId="77777777" w:rsidR="00597336" w:rsidRDefault="00597336"/>
    <w:p w14:paraId="38C26D1F" w14:textId="77777777" w:rsidR="00597336" w:rsidRDefault="00B21BEB">
      <w:pPr>
        <w:pStyle w:val="Heading2"/>
      </w:pPr>
      <w:r>
        <w:t>Core Competencies</w:t>
      </w:r>
    </w:p>
    <w:p w14:paraId="15E10658" w14:textId="77777777" w:rsidR="00597336" w:rsidRDefault="00B21BEB">
      <w:pPr>
        <w:pStyle w:val="ListParagraph"/>
        <w:numPr>
          <w:ilvl w:val="0"/>
          <w:numId w:val="2"/>
        </w:numPr>
      </w:pPr>
      <w:r>
        <w:rPr>
          <w:color w:val="1A1A1A"/>
        </w:rPr>
        <w:t>Commercial acumen with ability to balance legal risk against business objectives</w:t>
      </w:r>
    </w:p>
    <w:p w14:paraId="74BD2DC4" w14:textId="77777777" w:rsidR="00597336" w:rsidRDefault="00B21BEB">
      <w:pPr>
        <w:pStyle w:val="ListParagraph"/>
        <w:numPr>
          <w:ilvl w:val="0"/>
          <w:numId w:val="2"/>
        </w:numPr>
      </w:pPr>
      <w:r>
        <w:rPr>
          <w:color w:val="1A1A1A"/>
        </w:rPr>
        <w:t>Strong written and verbal communication skills; able to distill complex legal issues for non-legal audiences</w:t>
      </w:r>
    </w:p>
    <w:p w14:paraId="1891A334" w14:textId="77777777" w:rsidR="00597336" w:rsidRDefault="00B21BEB">
      <w:pPr>
        <w:pStyle w:val="ListParagraph"/>
        <w:numPr>
          <w:ilvl w:val="0"/>
          <w:numId w:val="2"/>
        </w:numPr>
      </w:pPr>
      <w:r>
        <w:rPr>
          <w:color w:val="1A1A1A"/>
        </w:rPr>
        <w:t>Executive presence and credibility with C-suite and senior stakeholders</w:t>
      </w:r>
    </w:p>
    <w:p w14:paraId="262EC40E" w14:textId="77777777" w:rsidR="00597336" w:rsidRDefault="00B21BEB">
      <w:pPr>
        <w:pStyle w:val="ListParagraph"/>
        <w:numPr>
          <w:ilvl w:val="0"/>
          <w:numId w:val="2"/>
        </w:numPr>
      </w:pPr>
      <w:r>
        <w:rPr>
          <w:color w:val="1A1A1A"/>
        </w:rPr>
        <w:t>Intellectual curiosity and adaptability in emerging technology and regulatory landscapes</w:t>
      </w:r>
    </w:p>
    <w:p w14:paraId="6B240F78" w14:textId="77777777" w:rsidR="00597336" w:rsidRDefault="00B21BEB">
      <w:pPr>
        <w:pStyle w:val="ListParagraph"/>
        <w:numPr>
          <w:ilvl w:val="0"/>
          <w:numId w:val="2"/>
        </w:numPr>
      </w:pPr>
      <w:r>
        <w:rPr>
          <w:color w:val="1A1A1A"/>
        </w:rPr>
        <w:t>Collaborative team player with ability to work independently across time zones</w:t>
      </w:r>
    </w:p>
    <w:p w14:paraId="37398B55" w14:textId="130569A9" w:rsidR="002E5806" w:rsidRDefault="002E5806" w:rsidP="002E5806">
      <w:pPr>
        <w:pStyle w:val="Heading2"/>
        <w:rPr>
          <w:rFonts w:ascii="Segoe UI" w:hAnsi="Segoe UI" w:cs="Segoe UI"/>
          <w:sz w:val="18"/>
          <w:szCs w:val="18"/>
        </w:rPr>
      </w:pPr>
      <w:r w:rsidRPr="002E5806">
        <w:lastRenderedPageBreak/>
        <w:t>New York Base Salary Range</w:t>
      </w:r>
    </w:p>
    <w:p w14:paraId="35A315B8" w14:textId="3FDD16AA" w:rsidR="002E5806" w:rsidRPr="002E5806" w:rsidRDefault="002E5806" w:rsidP="002E5806">
      <w:pPr>
        <w:pStyle w:val="paragraph"/>
        <w:spacing w:before="0" w:beforeAutospacing="0" w:after="0" w:afterAutospacing="0"/>
        <w:textAlignment w:val="baseline"/>
        <w:rPr>
          <w:rFonts w:ascii="Arial" w:eastAsia="Arial" w:hAnsi="Arial" w:cs="Arial"/>
          <w:color w:val="1A1A1A"/>
          <w:sz w:val="22"/>
          <w:szCs w:val="22"/>
        </w:rPr>
      </w:pPr>
      <w:r w:rsidRPr="002E5806">
        <w:rPr>
          <w:rFonts w:eastAsia="Arial"/>
          <w:color w:val="1A1A1A"/>
          <w:sz w:val="22"/>
          <w:szCs w:val="22"/>
        </w:rPr>
        <w:t xml:space="preserve">The expected base salary for this role, if located in New York, is between </w:t>
      </w:r>
      <w:r>
        <w:rPr>
          <w:rFonts w:eastAsia="Arial"/>
          <w:color w:val="1A1A1A"/>
          <w:sz w:val="22"/>
          <w:szCs w:val="22"/>
        </w:rPr>
        <w:t>$210,000</w:t>
      </w:r>
      <w:r w:rsidRPr="002E5806">
        <w:rPr>
          <w:rFonts w:eastAsia="Arial"/>
          <w:color w:val="1A1A1A"/>
          <w:sz w:val="22"/>
          <w:szCs w:val="22"/>
        </w:rPr>
        <w:t> </w:t>
      </w:r>
      <w:r>
        <w:rPr>
          <w:rFonts w:eastAsia="Arial"/>
          <w:color w:val="1A1A1A"/>
          <w:sz w:val="22"/>
          <w:szCs w:val="22"/>
        </w:rPr>
        <w:t>- $260,000</w:t>
      </w:r>
      <w:r w:rsidRPr="002E5806">
        <w:rPr>
          <w:rFonts w:eastAsia="Arial"/>
          <w:color w:val="1A1A1A"/>
          <w:sz w:val="22"/>
          <w:szCs w:val="22"/>
        </w:rPr>
        <w:t> USD. </w:t>
      </w:r>
      <w:r>
        <w:rPr>
          <w:rFonts w:eastAsia="Arial"/>
          <w:color w:val="1A1A1A"/>
          <w:sz w:val="22"/>
          <w:szCs w:val="22"/>
        </w:rPr>
        <w:t xml:space="preserve"> </w:t>
      </w:r>
      <w:r w:rsidRPr="002E5806">
        <w:rPr>
          <w:rFonts w:eastAsia="Arial"/>
          <w:color w:val="1A1A1A"/>
          <w:sz w:val="22"/>
          <w:szCs w:val="22"/>
        </w:rPr>
        <w:t>The base salary range does not include Intercontinental Exchange’s incentive compensation.  While we provide this range as general guidance, at ICE we compensate employees based on the skillset and experience of the individual. Regular full-time ICE employees are eligible for a suite of competitive employee benefits, including healthcare coverage (medical, dental and vision), a 401(k) plan, life insurance, time off, and paid leave for qualifying circumstances.</w:t>
      </w:r>
    </w:p>
    <w:p w14:paraId="61726C3F" w14:textId="77777777" w:rsidR="00597336" w:rsidRDefault="00597336"/>
    <w:sectPr w:rsidR="0059733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F0420"/>
    <w:multiLevelType w:val="hybridMultilevel"/>
    <w:tmpl w:val="D4486B9E"/>
    <w:lvl w:ilvl="0" w:tplc="0B2CD1B0">
      <w:start w:val="1"/>
      <w:numFmt w:val="bullet"/>
      <w:lvlText w:val="●"/>
      <w:lvlJc w:val="left"/>
      <w:pPr>
        <w:ind w:left="720" w:hanging="360"/>
      </w:pPr>
    </w:lvl>
    <w:lvl w:ilvl="1" w:tplc="CA10566E">
      <w:start w:val="1"/>
      <w:numFmt w:val="bullet"/>
      <w:lvlText w:val="○"/>
      <w:lvlJc w:val="left"/>
      <w:pPr>
        <w:ind w:left="1440" w:hanging="360"/>
      </w:pPr>
    </w:lvl>
    <w:lvl w:ilvl="2" w:tplc="3AB8207C">
      <w:start w:val="1"/>
      <w:numFmt w:val="bullet"/>
      <w:lvlText w:val="■"/>
      <w:lvlJc w:val="left"/>
      <w:pPr>
        <w:ind w:left="2160" w:hanging="360"/>
      </w:pPr>
    </w:lvl>
    <w:lvl w:ilvl="3" w:tplc="9648BC42">
      <w:start w:val="1"/>
      <w:numFmt w:val="bullet"/>
      <w:lvlText w:val="●"/>
      <w:lvlJc w:val="left"/>
      <w:pPr>
        <w:ind w:left="2880" w:hanging="360"/>
      </w:pPr>
    </w:lvl>
    <w:lvl w:ilvl="4" w:tplc="A90A9610">
      <w:start w:val="1"/>
      <w:numFmt w:val="bullet"/>
      <w:lvlText w:val="○"/>
      <w:lvlJc w:val="left"/>
      <w:pPr>
        <w:ind w:left="3600" w:hanging="360"/>
      </w:pPr>
    </w:lvl>
    <w:lvl w:ilvl="5" w:tplc="6360E80E">
      <w:start w:val="1"/>
      <w:numFmt w:val="bullet"/>
      <w:lvlText w:val="■"/>
      <w:lvlJc w:val="left"/>
      <w:pPr>
        <w:ind w:left="4320" w:hanging="360"/>
      </w:pPr>
    </w:lvl>
    <w:lvl w:ilvl="6" w:tplc="082605A6">
      <w:start w:val="1"/>
      <w:numFmt w:val="bullet"/>
      <w:lvlText w:val="●"/>
      <w:lvlJc w:val="left"/>
      <w:pPr>
        <w:ind w:left="5040" w:hanging="360"/>
      </w:pPr>
    </w:lvl>
    <w:lvl w:ilvl="7" w:tplc="0344C01C">
      <w:start w:val="1"/>
      <w:numFmt w:val="bullet"/>
      <w:lvlText w:val="●"/>
      <w:lvlJc w:val="left"/>
      <w:pPr>
        <w:ind w:left="5760" w:hanging="360"/>
      </w:pPr>
    </w:lvl>
    <w:lvl w:ilvl="8" w:tplc="69401650">
      <w:start w:val="1"/>
      <w:numFmt w:val="bullet"/>
      <w:lvlText w:val="●"/>
      <w:lvlJc w:val="left"/>
      <w:pPr>
        <w:ind w:left="6480" w:hanging="360"/>
      </w:pPr>
    </w:lvl>
  </w:abstractNum>
  <w:abstractNum w:abstractNumId="1" w15:restartNumberingAfterBreak="0">
    <w:nsid w:val="734D1C61"/>
    <w:multiLevelType w:val="hybridMultilevel"/>
    <w:tmpl w:val="CF580976"/>
    <w:lvl w:ilvl="0" w:tplc="658AF386">
      <w:start w:val="1"/>
      <w:numFmt w:val="bullet"/>
      <w:lvlText w:val="•"/>
      <w:lvlJc w:val="left"/>
      <w:pPr>
        <w:ind w:left="720" w:hanging="360"/>
      </w:pPr>
    </w:lvl>
    <w:lvl w:ilvl="1" w:tplc="E098DE00">
      <w:numFmt w:val="decimal"/>
      <w:lvlText w:val=""/>
      <w:lvlJc w:val="left"/>
    </w:lvl>
    <w:lvl w:ilvl="2" w:tplc="1F6E2D0A">
      <w:numFmt w:val="decimal"/>
      <w:lvlText w:val=""/>
      <w:lvlJc w:val="left"/>
    </w:lvl>
    <w:lvl w:ilvl="3" w:tplc="46720E24">
      <w:numFmt w:val="decimal"/>
      <w:lvlText w:val=""/>
      <w:lvlJc w:val="left"/>
    </w:lvl>
    <w:lvl w:ilvl="4" w:tplc="EB98D490">
      <w:numFmt w:val="decimal"/>
      <w:lvlText w:val=""/>
      <w:lvlJc w:val="left"/>
    </w:lvl>
    <w:lvl w:ilvl="5" w:tplc="42B485CC">
      <w:numFmt w:val="decimal"/>
      <w:lvlText w:val=""/>
      <w:lvlJc w:val="left"/>
    </w:lvl>
    <w:lvl w:ilvl="6" w:tplc="46F0EDB6">
      <w:numFmt w:val="decimal"/>
      <w:lvlText w:val=""/>
      <w:lvlJc w:val="left"/>
    </w:lvl>
    <w:lvl w:ilvl="7" w:tplc="1C180A68">
      <w:numFmt w:val="decimal"/>
      <w:lvlText w:val=""/>
      <w:lvlJc w:val="left"/>
    </w:lvl>
    <w:lvl w:ilvl="8" w:tplc="A1FE3C94">
      <w:numFmt w:val="decimal"/>
      <w:lvlText w:val=""/>
      <w:lvlJc w:val="left"/>
    </w:lvl>
  </w:abstractNum>
  <w:num w:numId="1" w16cid:durableId="1823153286">
    <w:abstractNumId w:val="0"/>
    <w:lvlOverride w:ilvl="0">
      <w:startOverride w:val="1"/>
    </w:lvlOverride>
  </w:num>
  <w:num w:numId="2" w16cid:durableId="42573514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336"/>
    <w:rsid w:val="002E5806"/>
    <w:rsid w:val="0034731A"/>
    <w:rsid w:val="00597336"/>
    <w:rsid w:val="009B6A6C"/>
    <w:rsid w:val="00B21BEB"/>
    <w:rsid w:val="00B839A6"/>
    <w:rsid w:val="00E42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00E9"/>
  <w15:docId w15:val="{4B34DD71-8919-41FC-A936-0BD1EE27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60"/>
      <w:outlineLvl w:val="0"/>
    </w:pPr>
    <w:rPr>
      <w:b/>
      <w:bCs/>
      <w:color w:val="1F4E79"/>
      <w:sz w:val="36"/>
      <w:szCs w:val="36"/>
    </w:rPr>
  </w:style>
  <w:style w:type="paragraph" w:styleId="Heading2">
    <w:name w:val="heading 2"/>
    <w:uiPriority w:val="9"/>
    <w:unhideWhenUsed/>
    <w:qFormat/>
    <w:pPr>
      <w:spacing w:before="240" w:after="120"/>
      <w:outlineLvl w:val="1"/>
    </w:pPr>
    <w:rPr>
      <w:b/>
      <w:bCs/>
      <w:color w:val="2E75B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paragraph">
    <w:name w:val="paragraph"/>
    <w:basedOn w:val="Normal"/>
    <w:rsid w:val="002E5806"/>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5806"/>
  </w:style>
  <w:style w:type="character" w:customStyle="1" w:styleId="eop">
    <w:name w:val="eop"/>
    <w:basedOn w:val="DefaultParagraphFont"/>
    <w:rsid w:val="002E5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733</Words>
  <Characters>4181</Characters>
  <Application>Microsoft Office Word</Application>
  <DocSecurity>0</DocSecurity>
  <Lines>34</Lines>
  <Paragraphs>9</Paragraphs>
  <ScaleCrop>false</ScaleCrop>
  <Company>Intercontinental Exchange</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Lexie Goldman</cp:lastModifiedBy>
  <cp:revision>2</cp:revision>
  <dcterms:created xsi:type="dcterms:W3CDTF">2026-07-01T18:22:00Z</dcterms:created>
  <dcterms:modified xsi:type="dcterms:W3CDTF">2026-07-01T18:22:00Z</dcterms:modified>
</cp:coreProperties>
</file>